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913CC" w14:textId="2747EB6D" w:rsidR="001C3A22" w:rsidRDefault="001926CE">
      <w:r>
        <w:t xml:space="preserve">Suggestions from DWC Listserv for Trauma Informed Readings </w:t>
      </w:r>
      <w:r w:rsidR="00F90926">
        <w:t xml:space="preserve">and Active Listening </w:t>
      </w:r>
    </w:p>
    <w:p w14:paraId="0D1F8539" w14:textId="0D46A045" w:rsidR="004A5D40" w:rsidRDefault="004A5D40"/>
    <w:p w14:paraId="0FEEEF08" w14:textId="692EB10B" w:rsidR="004A5D40" w:rsidRPr="00CC5A80" w:rsidRDefault="004A5D40" w:rsidP="004A5D40">
      <w:pPr>
        <w:pStyle w:val="ListParagraph"/>
        <w:numPr>
          <w:ilvl w:val="0"/>
          <w:numId w:val="1"/>
        </w:numPr>
        <w:rPr>
          <w:rFonts w:ascii="Times New Roman" w:eastAsia="Times New Roman" w:hAnsi="Times New Roman" w:cs="Times New Roman"/>
        </w:rPr>
      </w:pPr>
      <w:r>
        <w:t xml:space="preserve">Activity Attached: </w:t>
      </w:r>
      <w:r w:rsidRPr="004A5D40">
        <w:rPr>
          <w:rFonts w:ascii="Tahoma" w:eastAsia="Times New Roman" w:hAnsi="Tahoma" w:cs="Tahoma"/>
          <w:color w:val="212121"/>
          <w:sz w:val="23"/>
          <w:szCs w:val="23"/>
          <w:shd w:val="clear" w:color="auto" w:fill="FFFFFF"/>
        </w:rPr>
        <w:t>I'm attaching one of the activities we use in our </w:t>
      </w:r>
      <w:r w:rsidRPr="004A5D40">
        <w:rPr>
          <w:rFonts w:ascii="Tahoma" w:eastAsia="Times New Roman" w:hAnsi="Tahoma" w:cs="Tahoma"/>
          <w:i/>
          <w:iCs/>
          <w:color w:val="212121"/>
          <w:sz w:val="23"/>
          <w:szCs w:val="23"/>
        </w:rPr>
        <w:t>Crisis Intervention and Communication Skills </w:t>
      </w:r>
      <w:r w:rsidRPr="004A5D40">
        <w:rPr>
          <w:rFonts w:ascii="Tahoma" w:eastAsia="Times New Roman" w:hAnsi="Tahoma" w:cs="Tahoma"/>
          <w:color w:val="212121"/>
          <w:sz w:val="23"/>
          <w:szCs w:val="23"/>
          <w:shd w:val="clear" w:color="auto" w:fill="FFFFFF"/>
        </w:rPr>
        <w:t>module that builds active listening skills. The activity is based on NOVA's Crisis Intervention Model, which has 3 basic steps: 1) providing safety and security to establish a connection, ventilation &amp; validation (active listening), and prediction &amp; preparation (problem solving). The goal of the activity is for students to immediately apply their current active listening skills, try out new skills, and receive peer-feedback to improve. The attachment includes detailed directions for both a facilitator and the students and suggested debriefing questions. </w:t>
      </w:r>
    </w:p>
    <w:p w14:paraId="3F4AEC61" w14:textId="345B6608" w:rsidR="00CC5A80" w:rsidRPr="00F82453" w:rsidRDefault="00CC5A80" w:rsidP="00CC5A80">
      <w:pPr>
        <w:pStyle w:val="ListParagraph"/>
        <w:rPr>
          <w:rFonts w:ascii="Times New Roman" w:eastAsia="Times New Roman" w:hAnsi="Times New Roman" w:cs="Times New Roman"/>
        </w:rPr>
      </w:pPr>
      <w:r>
        <w:rPr>
          <w:rFonts w:ascii="Tahoma" w:eastAsia="Times New Roman" w:hAnsi="Tahoma" w:cs="Tahoma"/>
          <w:color w:val="212121"/>
          <w:sz w:val="23"/>
          <w:szCs w:val="23"/>
          <w:shd w:val="clear" w:color="auto" w:fill="FFFFFF"/>
        </w:rPr>
        <w:t>(Suggestion from Kathleen Kelly)</w:t>
      </w:r>
    </w:p>
    <w:p w14:paraId="19CD4B80" w14:textId="77777777" w:rsidR="00F82453" w:rsidRPr="00F82453" w:rsidRDefault="00F82453" w:rsidP="00F82453">
      <w:pPr>
        <w:rPr>
          <w:rFonts w:ascii="Times New Roman" w:eastAsia="Times New Roman" w:hAnsi="Times New Roman" w:cs="Times New Roman"/>
        </w:rPr>
      </w:pPr>
    </w:p>
    <w:p w14:paraId="2E25523A" w14:textId="77777777" w:rsidR="00F82453" w:rsidRDefault="00F82453" w:rsidP="00F82453">
      <w:pPr>
        <w:pStyle w:val="NormalWeb"/>
        <w:numPr>
          <w:ilvl w:val="0"/>
          <w:numId w:val="1"/>
        </w:numPr>
        <w:spacing w:before="0" w:beforeAutospacing="0" w:after="0" w:afterAutospacing="0"/>
        <w:rPr>
          <w:color w:val="212121"/>
        </w:rPr>
      </w:pPr>
      <w:r>
        <w:rPr>
          <w:rFonts w:ascii="Calibri" w:hAnsi="Calibri" w:cs="Calibri"/>
          <w:color w:val="1F497D"/>
          <w:sz w:val="22"/>
          <w:szCs w:val="22"/>
        </w:rPr>
        <w:t xml:space="preserve">My team and I wrote the attached short toolkit book(let) – which my student really like. The PDF is </w:t>
      </w:r>
      <w:proofErr w:type="gramStart"/>
      <w:r>
        <w:rPr>
          <w:rFonts w:ascii="Calibri" w:hAnsi="Calibri" w:cs="Calibri"/>
          <w:color w:val="1F497D"/>
          <w:sz w:val="22"/>
          <w:szCs w:val="22"/>
        </w:rPr>
        <w:t>free</w:t>
      </w:r>
      <w:proofErr w:type="gramEnd"/>
      <w:r>
        <w:rPr>
          <w:rFonts w:ascii="Calibri" w:hAnsi="Calibri" w:cs="Calibri"/>
          <w:color w:val="1F497D"/>
          <w:sz w:val="22"/>
          <w:szCs w:val="22"/>
        </w:rPr>
        <w:t xml:space="preserve"> but a small book version can be purchased for about $7. It’s short. And the chapters can stand alone – </w:t>
      </w:r>
      <w:proofErr w:type="spellStart"/>
      <w:r>
        <w:rPr>
          <w:rFonts w:ascii="Calibri" w:hAnsi="Calibri" w:cs="Calibri"/>
          <w:color w:val="1F497D"/>
          <w:sz w:val="22"/>
          <w:szCs w:val="22"/>
        </w:rPr>
        <w:t>ish</w:t>
      </w:r>
      <w:proofErr w:type="spellEnd"/>
      <w:r>
        <w:rPr>
          <w:rFonts w:ascii="Calibri" w:hAnsi="Calibri" w:cs="Calibri"/>
          <w:color w:val="1F497D"/>
          <w:sz w:val="22"/>
          <w:szCs w:val="22"/>
        </w:rPr>
        <w:t>. Also, it’s based on a CBPR framework which I am an advocate of…</w:t>
      </w:r>
      <w:r>
        <w:rPr>
          <w:rStyle w:val="apple-converted-space"/>
          <w:rFonts w:ascii="Calibri" w:hAnsi="Calibri" w:cs="Calibri"/>
          <w:color w:val="1F497D"/>
          <w:sz w:val="22"/>
          <w:szCs w:val="22"/>
        </w:rPr>
        <w:t> </w:t>
      </w:r>
    </w:p>
    <w:p w14:paraId="1842A3C1" w14:textId="75573C87" w:rsidR="00F82453" w:rsidRPr="00F82453" w:rsidRDefault="00F82453" w:rsidP="00F82453">
      <w:pPr>
        <w:pStyle w:val="NormalWeb"/>
        <w:spacing w:before="0" w:beforeAutospacing="0" w:after="0" w:afterAutospacing="0"/>
        <w:ind w:left="720"/>
        <w:rPr>
          <w:color w:val="212121"/>
        </w:rPr>
      </w:pPr>
      <w:r w:rsidRPr="00F82453">
        <w:rPr>
          <w:rFonts w:ascii="Calibri" w:hAnsi="Calibri" w:cs="Calibri"/>
          <w:color w:val="1F497D"/>
          <w:sz w:val="22"/>
          <w:szCs w:val="22"/>
        </w:rPr>
        <w:t>Tool 8 may be what you are looking for…</w:t>
      </w:r>
      <w:r w:rsidRPr="00F82453">
        <w:rPr>
          <w:rStyle w:val="apple-converted-space"/>
          <w:rFonts w:ascii="Calibri" w:hAnsi="Calibri" w:cs="Calibri"/>
          <w:color w:val="1F497D"/>
          <w:sz w:val="22"/>
          <w:szCs w:val="22"/>
        </w:rPr>
        <w:t> </w:t>
      </w:r>
    </w:p>
    <w:p w14:paraId="04F21499" w14:textId="3DA1FA90" w:rsidR="00F82453" w:rsidRDefault="00F82453" w:rsidP="00F82453">
      <w:pPr>
        <w:pStyle w:val="NormalWeb"/>
        <w:spacing w:before="0" w:beforeAutospacing="0" w:after="0" w:afterAutospacing="0"/>
        <w:ind w:left="720"/>
        <w:rPr>
          <w:rFonts w:ascii="Calibri" w:hAnsi="Calibri" w:cs="Calibri"/>
          <w:color w:val="212121"/>
          <w:sz w:val="22"/>
          <w:szCs w:val="22"/>
        </w:rPr>
      </w:pPr>
      <w:hyperlink r:id="rId5" w:history="1">
        <w:r w:rsidRPr="003F64E0">
          <w:rPr>
            <w:rStyle w:val="Hyperlink"/>
            <w:rFonts w:ascii="Calibri" w:hAnsi="Calibri" w:cs="Calibri"/>
            <w:sz w:val="22"/>
            <w:szCs w:val="22"/>
          </w:rPr>
          <w:t>https://traumahealing.org/wp-content/uploads/2018/10/Secondary-Trauma-Manual-.pdf</w:t>
        </w:r>
      </w:hyperlink>
    </w:p>
    <w:p w14:paraId="0A164CBE" w14:textId="4AB3A787" w:rsidR="00CC5A80" w:rsidRDefault="00CC5A80" w:rsidP="00F82453">
      <w:pPr>
        <w:pStyle w:val="NormalWeb"/>
        <w:spacing w:before="0" w:beforeAutospacing="0" w:after="0" w:afterAutospacing="0"/>
        <w:ind w:left="720"/>
        <w:rPr>
          <w:rFonts w:ascii="Calibri" w:hAnsi="Calibri" w:cs="Calibri"/>
          <w:color w:val="212121"/>
          <w:sz w:val="22"/>
          <w:szCs w:val="22"/>
        </w:rPr>
      </w:pPr>
      <w:r>
        <w:rPr>
          <w:rFonts w:ascii="Calibri" w:hAnsi="Calibri" w:cs="Calibri"/>
          <w:color w:val="212121"/>
          <w:sz w:val="22"/>
          <w:szCs w:val="22"/>
        </w:rPr>
        <w:t>(Suggestion from Kelly Knight)</w:t>
      </w:r>
    </w:p>
    <w:p w14:paraId="25825164" w14:textId="1379402C" w:rsidR="00F82453" w:rsidRDefault="00F82453" w:rsidP="00F82453">
      <w:pPr>
        <w:pStyle w:val="NormalWeb"/>
        <w:spacing w:before="0" w:beforeAutospacing="0" w:after="0" w:afterAutospacing="0"/>
        <w:ind w:left="720"/>
        <w:rPr>
          <w:rFonts w:ascii="Calibri" w:hAnsi="Calibri" w:cs="Calibri"/>
          <w:color w:val="212121"/>
          <w:sz w:val="22"/>
          <w:szCs w:val="22"/>
        </w:rPr>
      </w:pPr>
    </w:p>
    <w:p w14:paraId="26B550C8" w14:textId="77777777" w:rsidR="00F45B95" w:rsidRPr="00F45B95" w:rsidRDefault="00F45B95" w:rsidP="00F45B95">
      <w:pPr>
        <w:pStyle w:val="ListParagraph"/>
        <w:numPr>
          <w:ilvl w:val="0"/>
          <w:numId w:val="1"/>
        </w:numPr>
        <w:rPr>
          <w:rFonts w:ascii="Tahoma" w:eastAsia="Times New Roman" w:hAnsi="Tahoma" w:cs="Tahoma"/>
          <w:color w:val="212121"/>
          <w:sz w:val="23"/>
          <w:szCs w:val="23"/>
        </w:rPr>
      </w:pPr>
      <w:r w:rsidRPr="00F45B95">
        <w:rPr>
          <w:rFonts w:ascii="Tahoma" w:eastAsia="Times New Roman" w:hAnsi="Tahoma" w:cs="Tahoma"/>
          <w:color w:val="212121"/>
          <w:sz w:val="23"/>
          <w:szCs w:val="23"/>
        </w:rPr>
        <w:t>SAMSHA has a few PDFs on trauma informed care that are pretty accessible. One for behavioral health care workers is long</w:t>
      </w:r>
      <w:r w:rsidRPr="00F45B95">
        <w:rPr>
          <w:rFonts w:ascii="Arial" w:eastAsia="Times New Roman" w:hAnsi="Arial" w:cs="Arial"/>
          <w:color w:val="212121"/>
          <w:sz w:val="23"/>
          <w:szCs w:val="23"/>
        </w:rPr>
        <w:t> but very detailed. Here is the link for a shorter one that addresses basic concepts/principles. </w:t>
      </w:r>
    </w:p>
    <w:p w14:paraId="14E8DDED" w14:textId="50C596D2" w:rsidR="00F45B95" w:rsidRDefault="00F45B95" w:rsidP="00F45B95">
      <w:pPr>
        <w:pStyle w:val="ListParagraph"/>
        <w:rPr>
          <w:rFonts w:ascii="Arial" w:eastAsia="Times New Roman" w:hAnsi="Arial" w:cs="Arial"/>
          <w:color w:val="0000FF"/>
          <w:sz w:val="23"/>
          <w:szCs w:val="23"/>
          <w:u w:val="single"/>
        </w:rPr>
      </w:pPr>
      <w:hyperlink r:id="rId6" w:history="1">
        <w:r w:rsidRPr="003F64E0">
          <w:rPr>
            <w:rStyle w:val="Hyperlink"/>
            <w:rFonts w:ascii="Arial" w:eastAsia="Times New Roman" w:hAnsi="Arial" w:cs="Arial"/>
            <w:sz w:val="23"/>
            <w:szCs w:val="23"/>
          </w:rPr>
          <w:t>https://store.samhsa.gov/system/files/sma14-4884.pdf</w:t>
        </w:r>
      </w:hyperlink>
    </w:p>
    <w:p w14:paraId="4737E2EF" w14:textId="7CC8C7B2" w:rsidR="00CC5A80" w:rsidRDefault="00CC5A80" w:rsidP="00F45B95">
      <w:pPr>
        <w:pStyle w:val="ListParagraph"/>
        <w:rPr>
          <w:rFonts w:ascii="Arial" w:eastAsia="Times New Roman" w:hAnsi="Arial" w:cs="Arial"/>
          <w:color w:val="0000FF"/>
          <w:sz w:val="23"/>
          <w:szCs w:val="23"/>
          <w:u w:val="single"/>
        </w:rPr>
      </w:pPr>
      <w:r>
        <w:rPr>
          <w:rFonts w:ascii="Arial" w:eastAsia="Times New Roman" w:hAnsi="Arial" w:cs="Arial"/>
          <w:color w:val="0000FF"/>
          <w:sz w:val="23"/>
          <w:szCs w:val="23"/>
          <w:u w:val="single"/>
        </w:rPr>
        <w:t>(Suggestion from Shannon Lynch)</w:t>
      </w:r>
    </w:p>
    <w:p w14:paraId="354EEEDF" w14:textId="302EB29C" w:rsidR="00F45B95" w:rsidRDefault="00F45B95" w:rsidP="00F45B95">
      <w:pPr>
        <w:pStyle w:val="ListParagraph"/>
        <w:rPr>
          <w:rFonts w:ascii="Arial" w:eastAsia="Times New Roman" w:hAnsi="Arial" w:cs="Arial"/>
          <w:color w:val="0000FF"/>
          <w:sz w:val="23"/>
          <w:szCs w:val="23"/>
          <w:u w:val="single"/>
        </w:rPr>
      </w:pPr>
    </w:p>
    <w:p w14:paraId="7A0BE5A8" w14:textId="77777777" w:rsidR="00171D18" w:rsidRDefault="00171D18" w:rsidP="00171D18">
      <w:pPr>
        <w:pStyle w:val="NormalWeb"/>
        <w:numPr>
          <w:ilvl w:val="0"/>
          <w:numId w:val="1"/>
        </w:numPr>
        <w:spacing w:before="0" w:beforeAutospacing="0" w:after="0" w:afterAutospacing="0"/>
        <w:rPr>
          <w:rFonts w:ascii="Calibri" w:hAnsi="Calibri" w:cs="Calibri"/>
          <w:color w:val="212121"/>
          <w:sz w:val="22"/>
          <w:szCs w:val="22"/>
        </w:rPr>
      </w:pPr>
      <w:r>
        <w:rPr>
          <w:rFonts w:ascii="Calibri" w:hAnsi="Calibri" w:cs="Calibri"/>
          <w:color w:val="212121"/>
          <w:sz w:val="22"/>
          <w:szCs w:val="22"/>
        </w:rPr>
        <w:t>Here are a few resources that may be useful, particularly around victim service/advocacy.</w:t>
      </w:r>
    </w:p>
    <w:p w14:paraId="19D04C8C" w14:textId="652B26E2" w:rsidR="00171D18" w:rsidRPr="00171D18" w:rsidRDefault="00171D18" w:rsidP="00171D18">
      <w:pPr>
        <w:pStyle w:val="NormalWeb"/>
        <w:spacing w:before="0" w:beforeAutospacing="0" w:after="0" w:afterAutospacing="0"/>
        <w:ind w:left="720"/>
        <w:rPr>
          <w:rFonts w:ascii="Calibri" w:hAnsi="Calibri" w:cs="Calibri"/>
          <w:color w:val="212121"/>
          <w:sz w:val="22"/>
          <w:szCs w:val="22"/>
        </w:rPr>
      </w:pPr>
      <w:r w:rsidRPr="00171D18">
        <w:rPr>
          <w:rFonts w:ascii="Calibri" w:hAnsi="Calibri" w:cs="Calibri"/>
          <w:color w:val="212121"/>
          <w:sz w:val="22"/>
          <w:szCs w:val="22"/>
        </w:rPr>
        <w:t>We developed these standards for use by victim service programs and providers. They include program standards, competency standards, and ethical standards. The website also includes some videos and podcasts on standards use.</w:t>
      </w:r>
      <w:r w:rsidRPr="00171D18">
        <w:rPr>
          <w:rStyle w:val="apple-converted-space"/>
          <w:rFonts w:ascii="Calibri" w:hAnsi="Calibri" w:cs="Calibri"/>
          <w:color w:val="212121"/>
          <w:sz w:val="22"/>
          <w:szCs w:val="22"/>
        </w:rPr>
        <w:t> </w:t>
      </w:r>
      <w:hyperlink r:id="rId7" w:tgtFrame="_blank" w:history="1">
        <w:r w:rsidRPr="00171D18">
          <w:rPr>
            <w:rStyle w:val="Hyperlink"/>
            <w:rFonts w:ascii="Calibri" w:hAnsi="Calibri" w:cs="Calibri"/>
            <w:sz w:val="22"/>
            <w:szCs w:val="22"/>
          </w:rPr>
          <w:t>https://www.ovc.gov/model-standards/index.html</w:t>
        </w:r>
      </w:hyperlink>
    </w:p>
    <w:p w14:paraId="3A2190C3" w14:textId="5B64F723" w:rsidR="00171D18" w:rsidRPr="00171D18" w:rsidRDefault="00171D18" w:rsidP="00171D18">
      <w:pPr>
        <w:pStyle w:val="NormalWeb"/>
        <w:spacing w:before="0" w:beforeAutospacing="0" w:after="0" w:afterAutospacing="0"/>
        <w:ind w:left="720"/>
        <w:rPr>
          <w:rFonts w:ascii="Calibri" w:hAnsi="Calibri" w:cs="Calibri"/>
          <w:color w:val="212121"/>
          <w:sz w:val="22"/>
          <w:szCs w:val="22"/>
        </w:rPr>
      </w:pPr>
      <w:r w:rsidRPr="00171D18">
        <w:rPr>
          <w:rFonts w:ascii="Calibri" w:hAnsi="Calibri" w:cs="Calibri"/>
          <w:color w:val="212121"/>
          <w:sz w:val="22"/>
          <w:szCs w:val="22"/>
        </w:rPr>
        <w:t>We developed this curriculum to train victim service providers on ethics. It includes some video vignettes and activities.</w:t>
      </w:r>
      <w:r w:rsidRPr="00171D18">
        <w:rPr>
          <w:rStyle w:val="apple-converted-space"/>
          <w:rFonts w:ascii="Calibri" w:hAnsi="Calibri" w:cs="Calibri"/>
          <w:color w:val="212121"/>
          <w:sz w:val="22"/>
          <w:szCs w:val="22"/>
        </w:rPr>
        <w:t> </w:t>
      </w:r>
      <w:hyperlink r:id="rId8" w:tgtFrame="_blank" w:history="1">
        <w:r w:rsidRPr="00171D18">
          <w:rPr>
            <w:rStyle w:val="Hyperlink"/>
            <w:rFonts w:ascii="Calibri" w:hAnsi="Calibri" w:cs="Calibri"/>
            <w:sz w:val="22"/>
            <w:szCs w:val="22"/>
          </w:rPr>
          <w:t>https://www.ovcttac.gov/ethics/</w:t>
        </w:r>
      </w:hyperlink>
    </w:p>
    <w:p w14:paraId="157D4B19" w14:textId="4AF774AD" w:rsidR="00171D18" w:rsidRPr="00171D18" w:rsidRDefault="00171D18" w:rsidP="00171D18">
      <w:pPr>
        <w:pStyle w:val="NormalWeb"/>
        <w:spacing w:before="0" w:beforeAutospacing="0" w:after="0" w:afterAutospacing="0"/>
        <w:ind w:left="720"/>
        <w:rPr>
          <w:rFonts w:ascii="Calibri" w:hAnsi="Calibri" w:cs="Calibri"/>
          <w:color w:val="212121"/>
          <w:sz w:val="22"/>
          <w:szCs w:val="22"/>
        </w:rPr>
      </w:pPr>
      <w:r w:rsidRPr="00171D18">
        <w:rPr>
          <w:rFonts w:ascii="Calibri" w:hAnsi="Calibri" w:cs="Calibri"/>
          <w:color w:val="212121"/>
          <w:sz w:val="22"/>
          <w:szCs w:val="22"/>
        </w:rPr>
        <w:t xml:space="preserve">We developed this training for use with correctional officers, but it has some activities and videos that could be adapted for other purposes. They are free to download, and the Trauma &amp; the Brain video just won a </w:t>
      </w:r>
      <w:proofErr w:type="spellStart"/>
      <w:r w:rsidRPr="00171D18">
        <w:rPr>
          <w:rFonts w:ascii="Calibri" w:hAnsi="Calibri" w:cs="Calibri"/>
          <w:color w:val="212121"/>
          <w:sz w:val="22"/>
          <w:szCs w:val="22"/>
        </w:rPr>
        <w:t>Telly</w:t>
      </w:r>
      <w:proofErr w:type="spellEnd"/>
      <w:r w:rsidRPr="00171D18">
        <w:rPr>
          <w:rFonts w:ascii="Calibri" w:hAnsi="Calibri" w:cs="Calibri"/>
          <w:color w:val="212121"/>
          <w:sz w:val="22"/>
          <w:szCs w:val="22"/>
        </w:rPr>
        <w:t xml:space="preserve"> award.</w:t>
      </w:r>
      <w:r w:rsidRPr="00171D18">
        <w:rPr>
          <w:rStyle w:val="apple-converted-space"/>
          <w:rFonts w:ascii="Calibri" w:hAnsi="Calibri" w:cs="Calibri"/>
          <w:color w:val="212121"/>
          <w:sz w:val="22"/>
          <w:szCs w:val="22"/>
        </w:rPr>
        <w:t> </w:t>
      </w:r>
      <w:hyperlink r:id="rId9" w:tgtFrame="_blank" w:history="1">
        <w:r w:rsidRPr="00171D18">
          <w:rPr>
            <w:rStyle w:val="Hyperlink"/>
            <w:rFonts w:ascii="Calibri" w:hAnsi="Calibri" w:cs="Calibri"/>
            <w:sz w:val="22"/>
            <w:szCs w:val="22"/>
          </w:rPr>
          <w:t>http://cmhtraining.sc.edu/</w:t>
        </w:r>
      </w:hyperlink>
    </w:p>
    <w:p w14:paraId="0A86DD19" w14:textId="51875B47" w:rsidR="00F45B95" w:rsidRPr="00171D18" w:rsidRDefault="00CC5A80" w:rsidP="00171D18">
      <w:pPr>
        <w:pStyle w:val="NormalWeb"/>
        <w:spacing w:before="0" w:beforeAutospacing="0" w:after="0" w:afterAutospacing="0"/>
        <w:ind w:left="720"/>
        <w:rPr>
          <w:rFonts w:ascii="Calibri" w:hAnsi="Calibri" w:cs="Calibri"/>
          <w:color w:val="212121"/>
          <w:sz w:val="22"/>
          <w:szCs w:val="22"/>
        </w:rPr>
      </w:pPr>
      <w:r>
        <w:rPr>
          <w:rFonts w:ascii="Calibri" w:hAnsi="Calibri" w:cs="Calibri"/>
          <w:color w:val="212121"/>
          <w:sz w:val="22"/>
          <w:szCs w:val="22"/>
        </w:rPr>
        <w:t xml:space="preserve"> (Suggestion from Dana DeHart)</w:t>
      </w:r>
      <w:bookmarkStart w:id="0" w:name="_GoBack"/>
      <w:bookmarkEnd w:id="0"/>
    </w:p>
    <w:p w14:paraId="2D9F9F78" w14:textId="3EE37E00" w:rsidR="00F82453" w:rsidRDefault="00F82453" w:rsidP="00F45B95">
      <w:pPr>
        <w:pStyle w:val="NormalWeb"/>
        <w:spacing w:before="0" w:beforeAutospacing="0" w:after="0" w:afterAutospacing="0"/>
        <w:ind w:left="720"/>
        <w:rPr>
          <w:rFonts w:ascii="Calibri" w:hAnsi="Calibri" w:cs="Calibri"/>
          <w:color w:val="212121"/>
          <w:sz w:val="22"/>
          <w:szCs w:val="22"/>
        </w:rPr>
      </w:pPr>
    </w:p>
    <w:p w14:paraId="3AA68EA9" w14:textId="77777777" w:rsidR="00F82453" w:rsidRPr="00F82453" w:rsidRDefault="00F82453" w:rsidP="00F82453">
      <w:pPr>
        <w:pStyle w:val="NormalWeb"/>
        <w:spacing w:before="0" w:beforeAutospacing="0" w:after="0" w:afterAutospacing="0"/>
        <w:rPr>
          <w:color w:val="212121"/>
        </w:rPr>
      </w:pPr>
    </w:p>
    <w:p w14:paraId="560CDCD1" w14:textId="46801059" w:rsidR="00F82453" w:rsidRDefault="00F82453" w:rsidP="00F82453">
      <w:pPr>
        <w:pStyle w:val="NormalWeb"/>
        <w:spacing w:before="0" w:beforeAutospacing="0" w:after="0" w:afterAutospacing="0"/>
        <w:ind w:left="720"/>
        <w:rPr>
          <w:color w:val="212121"/>
        </w:rPr>
      </w:pPr>
    </w:p>
    <w:p w14:paraId="51E833BB" w14:textId="77777777" w:rsidR="004A5D40" w:rsidRPr="004A5D40" w:rsidRDefault="004A5D40" w:rsidP="00F82453">
      <w:pPr>
        <w:pStyle w:val="ListParagraph"/>
        <w:rPr>
          <w:rFonts w:ascii="Times New Roman" w:eastAsia="Times New Roman" w:hAnsi="Times New Roman" w:cs="Times New Roman"/>
        </w:rPr>
      </w:pPr>
    </w:p>
    <w:p w14:paraId="697F3242" w14:textId="6E0386DB" w:rsidR="004A5D40" w:rsidRDefault="004A5D40"/>
    <w:p w14:paraId="185976B3" w14:textId="77777777" w:rsidR="004A5D40" w:rsidRDefault="004A5D40"/>
    <w:p w14:paraId="2850E613" w14:textId="77777777" w:rsidR="00F90926" w:rsidRDefault="00F90926"/>
    <w:sectPr w:rsidR="00F90926" w:rsidSect="00A91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A0FF5"/>
    <w:multiLevelType w:val="hybridMultilevel"/>
    <w:tmpl w:val="145420C4"/>
    <w:lvl w:ilvl="0" w:tplc="7A3E0AF0">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CE"/>
    <w:rsid w:val="00164B46"/>
    <w:rsid w:val="00171D18"/>
    <w:rsid w:val="001926CE"/>
    <w:rsid w:val="003F156A"/>
    <w:rsid w:val="004A5D40"/>
    <w:rsid w:val="009D6B5E"/>
    <w:rsid w:val="00A911B0"/>
    <w:rsid w:val="00AF7CF5"/>
    <w:rsid w:val="00B8661C"/>
    <w:rsid w:val="00CC5A80"/>
    <w:rsid w:val="00E4235C"/>
    <w:rsid w:val="00F45B95"/>
    <w:rsid w:val="00F82453"/>
    <w:rsid w:val="00F9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5C2104"/>
  <w15:chartTrackingRefBased/>
  <w15:docId w15:val="{909CB2F3-51AB-044E-AC56-124270CD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5D40"/>
  </w:style>
  <w:style w:type="paragraph" w:styleId="ListParagraph">
    <w:name w:val="List Paragraph"/>
    <w:basedOn w:val="Normal"/>
    <w:uiPriority w:val="34"/>
    <w:qFormat/>
    <w:rsid w:val="004A5D40"/>
    <w:pPr>
      <w:ind w:left="720"/>
      <w:contextualSpacing/>
    </w:pPr>
  </w:style>
  <w:style w:type="paragraph" w:styleId="NormalWeb">
    <w:name w:val="Normal (Web)"/>
    <w:basedOn w:val="Normal"/>
    <w:uiPriority w:val="99"/>
    <w:unhideWhenUsed/>
    <w:rsid w:val="00F8245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82453"/>
    <w:rPr>
      <w:color w:val="0000FF"/>
      <w:u w:val="single"/>
    </w:rPr>
  </w:style>
  <w:style w:type="character" w:styleId="UnresolvedMention">
    <w:name w:val="Unresolved Mention"/>
    <w:basedOn w:val="DefaultParagraphFont"/>
    <w:uiPriority w:val="99"/>
    <w:semiHidden/>
    <w:unhideWhenUsed/>
    <w:rsid w:val="00F82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282720">
      <w:bodyDiv w:val="1"/>
      <w:marLeft w:val="0"/>
      <w:marRight w:val="0"/>
      <w:marTop w:val="0"/>
      <w:marBottom w:val="0"/>
      <w:divBdr>
        <w:top w:val="none" w:sz="0" w:space="0" w:color="auto"/>
        <w:left w:val="none" w:sz="0" w:space="0" w:color="auto"/>
        <w:bottom w:val="none" w:sz="0" w:space="0" w:color="auto"/>
        <w:right w:val="none" w:sz="0" w:space="0" w:color="auto"/>
      </w:divBdr>
    </w:div>
    <w:div w:id="778067336">
      <w:bodyDiv w:val="1"/>
      <w:marLeft w:val="0"/>
      <w:marRight w:val="0"/>
      <w:marTop w:val="0"/>
      <w:marBottom w:val="0"/>
      <w:divBdr>
        <w:top w:val="none" w:sz="0" w:space="0" w:color="auto"/>
        <w:left w:val="none" w:sz="0" w:space="0" w:color="auto"/>
        <w:bottom w:val="none" w:sz="0" w:space="0" w:color="auto"/>
        <w:right w:val="none" w:sz="0" w:space="0" w:color="auto"/>
      </w:divBdr>
    </w:div>
    <w:div w:id="1304970842">
      <w:bodyDiv w:val="1"/>
      <w:marLeft w:val="0"/>
      <w:marRight w:val="0"/>
      <w:marTop w:val="0"/>
      <w:marBottom w:val="0"/>
      <w:divBdr>
        <w:top w:val="none" w:sz="0" w:space="0" w:color="auto"/>
        <w:left w:val="none" w:sz="0" w:space="0" w:color="auto"/>
        <w:bottom w:val="none" w:sz="0" w:space="0" w:color="auto"/>
        <w:right w:val="none" w:sz="0" w:space="0" w:color="auto"/>
      </w:divBdr>
      <w:divsChild>
        <w:div w:id="1446264402">
          <w:marLeft w:val="0"/>
          <w:marRight w:val="0"/>
          <w:marTop w:val="0"/>
          <w:marBottom w:val="0"/>
          <w:divBdr>
            <w:top w:val="none" w:sz="0" w:space="0" w:color="auto"/>
            <w:left w:val="none" w:sz="0" w:space="0" w:color="auto"/>
            <w:bottom w:val="none" w:sz="0" w:space="0" w:color="auto"/>
            <w:right w:val="none" w:sz="0" w:space="0" w:color="auto"/>
          </w:divBdr>
        </w:div>
        <w:div w:id="1870872532">
          <w:marLeft w:val="0"/>
          <w:marRight w:val="0"/>
          <w:marTop w:val="0"/>
          <w:marBottom w:val="0"/>
          <w:divBdr>
            <w:top w:val="none" w:sz="0" w:space="0" w:color="auto"/>
            <w:left w:val="none" w:sz="0" w:space="0" w:color="auto"/>
            <w:bottom w:val="none" w:sz="0" w:space="0" w:color="auto"/>
            <w:right w:val="none" w:sz="0" w:space="0" w:color="auto"/>
          </w:divBdr>
        </w:div>
      </w:divsChild>
    </w:div>
    <w:div w:id="212606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vcttac.gov/ethics/" TargetMode="External"/><Relationship Id="rId3" Type="http://schemas.openxmlformats.org/officeDocument/2006/relationships/settings" Target="settings.xml"/><Relationship Id="rId7" Type="http://schemas.openxmlformats.org/officeDocument/2006/relationships/hyperlink" Target="https://www.ovc.gov/model-standard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e.samhsa.gov/system/files/sma14-4884.pdf" TargetMode="External"/><Relationship Id="rId11" Type="http://schemas.openxmlformats.org/officeDocument/2006/relationships/theme" Target="theme/theme1.xml"/><Relationship Id="rId5" Type="http://schemas.openxmlformats.org/officeDocument/2006/relationships/hyperlink" Target="https://traumahealing.org/wp-content/uploads/2018/10/Secondary-Trauma-Manual-.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mhtraining.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Rebecca M</dc:creator>
  <cp:keywords/>
  <dc:description/>
  <cp:lastModifiedBy>Hayes, Rebecca M</cp:lastModifiedBy>
  <cp:revision>8</cp:revision>
  <dcterms:created xsi:type="dcterms:W3CDTF">2019-07-25T11:26:00Z</dcterms:created>
  <dcterms:modified xsi:type="dcterms:W3CDTF">2019-07-25T11:31:00Z</dcterms:modified>
</cp:coreProperties>
</file>